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bookmarkStart w:id="10" w:name="tribunal-judicial-da-comarca-de-lisboa"/>
    <w:p>
      <w:pPr>
        <w:pStyle w:val="Heading2"/>
      </w:pPr>
      <w:r>
        <w:t xml:space="preserve">Tribunal Judicial da Comarca de Lisboa</w:t>
      </w:r>
    </w:p>
    <w:p>
      <w:pPr>
        <w:pStyle w:val="FirstParagraph"/>
      </w:pPr>
      <w:r>
        <w:rPr>
          <w:b/>
          <w:bCs/>
        </w:rPr>
        <w:t xml:space="preserve">Vara Cível</w:t>
      </w:r>
    </w:p>
    <w:p>
      <w:pPr>
        <w:pStyle w:val="BodyText"/>
      </w:pPr>
      <w:r>
        <w:rPr>
          <w:b/>
          <w:bCs/>
        </w:rPr>
        <w:t xml:space="preserve">Processo n.º 1234/24.5T8LSB</w:t>
      </w:r>
    </w:p>
    <w:p>
      <w:r>
        <w:pict>
          <v:rect style="width:0;height:1.5pt" o:hralign="center" o:hrstd="t" o:hr="t"/>
        </w:pict>
      </w:r>
    </w:p>
    <w:bookmarkStart w:id="9" w:name="petição-inicial-ação-especial-de-despejo"/>
    <w:p>
      <w:pPr>
        <w:pStyle w:val="Heading3"/>
      </w:pPr>
      <w:r>
        <w:rPr>
          <w:b/>
          <w:bCs/>
        </w:rPr>
        <w:t xml:space="preserve">Petição Inicial – Ação Especial de Despejo</w:t>
      </w:r>
    </w:p>
    <w:p>
      <w:pPr>
        <w:pStyle w:val="FirstParagraph"/>
      </w:pPr>
      <w:r>
        <w:rPr>
          <w:b/>
          <w:bCs/>
        </w:rPr>
        <w:t xml:space="preserve">Autor / Requerente:</w:t>
      </w:r>
      <w:r>
        <w:br/>
      </w:r>
      <w:r>
        <w:rPr>
          <w:b/>
          <w:bCs/>
        </w:rPr>
        <w:t xml:space="preserve">Empresa de Arrendamento Comercial, Lda.</w:t>
      </w:r>
      <w:r>
        <w:t xml:space="preserve">, pessoa coletiva número</w:t>
      </w:r>
      <w:r>
        <w:t xml:space="preserve"> </w:t>
      </w:r>
      <w:r>
        <w:rPr>
          <w:b/>
          <w:bCs/>
        </w:rPr>
        <w:t xml:space="preserve">504 567 890</w:t>
      </w:r>
      <w:r>
        <w:t xml:space="preserve">, com sede na</w:t>
      </w:r>
      <w:r>
        <w:t xml:space="preserve"> </w:t>
      </w:r>
      <w:r>
        <w:rPr>
          <w:b/>
          <w:bCs/>
        </w:rPr>
        <w:t xml:space="preserve">Av. da Liberdade, 45, 1250‑145 Lisboa</w:t>
      </w:r>
      <w:r>
        <w:t xml:space="preserve">, representada por</w:t>
      </w:r>
      <w:r>
        <w:t xml:space="preserve"> </w:t>
      </w:r>
      <w:r>
        <w:rPr>
          <w:b/>
          <w:bCs/>
        </w:rPr>
        <w:t xml:space="preserve">Dr. Ana Martins</w:t>
      </w:r>
      <w:r>
        <w:t xml:space="preserve">, advogada (OAB 12345), e por</w:t>
      </w:r>
      <w:r>
        <w:t xml:space="preserve"> </w:t>
      </w:r>
      <w:r>
        <w:rPr>
          <w:b/>
          <w:bCs/>
        </w:rPr>
        <w:t xml:space="preserve">Dr. Luís Pereira</w:t>
      </w:r>
      <w:r>
        <w:t xml:space="preserve">, advogado (OAB 67890), ambos com escritórios na</w:t>
      </w:r>
      <w:r>
        <w:t xml:space="preserve"> </w:t>
      </w:r>
      <w:r>
        <w:rPr>
          <w:b/>
          <w:bCs/>
        </w:rPr>
        <w:t xml:space="preserve">Rua da Prata, 22, 2.º Esq., 1200‑350 Lisboa</w:t>
      </w:r>
      <w:r>
        <w:t xml:space="preserve">.</w:t>
      </w:r>
    </w:p>
    <w:p>
      <w:pPr>
        <w:pStyle w:val="BodyText"/>
      </w:pPr>
      <w:r>
        <w:rPr>
          <w:b/>
          <w:bCs/>
        </w:rPr>
        <w:t xml:space="preserve">Réu / Requerido:</w:t>
      </w:r>
      <w:r>
        <w:br/>
      </w:r>
      <w:r>
        <w:rPr>
          <w:b/>
          <w:bCs/>
        </w:rPr>
        <w:t xml:space="preserve">Sr. João da Silva</w:t>
      </w:r>
      <w:r>
        <w:t xml:space="preserve">, pessoa singular número</w:t>
      </w:r>
      <w:r>
        <w:t xml:space="preserve"> </w:t>
      </w:r>
      <w:r>
        <w:rPr>
          <w:b/>
          <w:bCs/>
        </w:rPr>
        <w:t xml:space="preserve">123 456 789</w:t>
      </w:r>
      <w:r>
        <w:t xml:space="preserve">, residente em</w:t>
      </w:r>
      <w:r>
        <w:t xml:space="preserve"> </w:t>
      </w:r>
      <w:r>
        <w:rPr>
          <w:b/>
          <w:bCs/>
        </w:rPr>
        <w:t xml:space="preserve">Rua das Flores, 12, 4.º Dto., 1150‑050 Lisboa</w:t>
      </w:r>
      <w:r>
        <w:t xml:space="preserve">.</w:t>
      </w:r>
    </w:p>
    <w:p>
      <w:pPr>
        <w:pStyle w:val="BodyText"/>
      </w:pPr>
      <w:r>
        <w:rPr>
          <w:b/>
          <w:bCs/>
        </w:rPr>
        <w:t xml:space="preserve">Juiz:</w:t>
      </w:r>
      <w:r>
        <w:t xml:space="preserve"> </w:t>
      </w:r>
      <w:r>
        <w:t xml:space="preserve">Juiz de Direito da Vara Cível de Lisboa</w:t>
      </w:r>
    </w:p>
    <w:p>
      <w:r>
        <w:pict>
          <v:rect style="width:0;height:1.5pt" o:hralign="center" o:hrstd="t" o:hr="t"/>
        </w:pict>
      </w:r>
    </w:p>
    <w:bookmarkEnd w:id="9"/>
    <w:bookmarkEnd w:id="10"/>
    <w:bookmarkStart w:id="11" w:name="i.-exposição-dos-factos"/>
    <w:p>
      <w:pPr>
        <w:pStyle w:val="Heading2"/>
      </w:pPr>
      <w:r>
        <w:t xml:space="preserve">I. Exposição dos Factos</w:t>
      </w:r>
    </w:p>
    <w:p>
      <w:pPr>
        <w:pStyle w:val="Compact"/>
        <w:numPr>
          <w:ilvl w:val="0"/>
          <w:numId w:val="1001"/>
        </w:numPr>
      </w:pPr>
      <w:r>
        <w:rPr>
          <w:b/>
          <w:bCs/>
        </w:rPr>
        <w:t xml:space="preserve">Celebrado Contrato de Arrendamento Comercial</w:t>
      </w:r>
    </w:p>
    <w:p>
      <w:pPr>
        <w:pStyle w:val="Compact"/>
        <w:numPr>
          <w:ilvl w:val="1"/>
          <w:numId w:val="1002"/>
        </w:numPr>
      </w:pPr>
      <w:r>
        <w:t xml:space="preserve">Em</w:t>
      </w:r>
      <w:r>
        <w:t xml:space="preserve"> </w:t>
      </w:r>
      <w:r>
        <w:rPr>
          <w:b/>
          <w:bCs/>
        </w:rPr>
        <w:t xml:space="preserve">15 de janeiro de 2022</w:t>
      </w:r>
      <w:r>
        <w:t xml:space="preserve">, as partes celebraram contrato de arrendamento comercial, com prazo de vigência de</w:t>
      </w:r>
      <w:r>
        <w:t xml:space="preserve"> </w:t>
      </w:r>
      <w:r>
        <w:rPr>
          <w:b/>
          <w:bCs/>
        </w:rPr>
        <w:t xml:space="preserve">três (3) anos</w:t>
      </w:r>
      <w:r>
        <w:t xml:space="preserve">, para o estabelecimento comercial localizado na</w:t>
      </w:r>
      <w:r>
        <w:t xml:space="preserve"> </w:t>
      </w:r>
      <w:r>
        <w:rPr>
          <w:b/>
          <w:bCs/>
        </w:rPr>
        <w:t xml:space="preserve">Av. da República, 78, 1050‑150 Lisboa</w:t>
      </w:r>
      <w:r>
        <w:t xml:space="preserve">.</w:t>
      </w:r>
      <w:r>
        <w:br/>
      </w:r>
    </w:p>
    <w:p>
      <w:pPr>
        <w:pStyle w:val="Compact"/>
        <w:numPr>
          <w:ilvl w:val="1"/>
          <w:numId w:val="1002"/>
        </w:numPr>
      </w:pPr>
      <w:r>
        <w:t xml:space="preserve">O contrato fixou a renda mensal em</w:t>
      </w:r>
      <w:r>
        <w:t xml:space="preserve"> </w:t>
      </w:r>
      <w:r>
        <w:rPr>
          <w:b/>
          <w:bCs/>
        </w:rPr>
        <w:t xml:space="preserve">€ 2.500,00 (dois mil e quinhentos euros)</w:t>
      </w:r>
      <w:r>
        <w:t xml:space="preserve">, com vencimento a 5.º dia útil de cada mês, devendo ser paga por transferência bancária para o IBAN PT50 0000 0000 0000 1234 5678.</w:t>
      </w:r>
    </w:p>
    <w:p>
      <w:pPr>
        <w:pStyle w:val="Compact"/>
        <w:numPr>
          <w:ilvl w:val="0"/>
          <w:numId w:val="1001"/>
        </w:numPr>
      </w:pPr>
      <w:r>
        <w:rPr>
          <w:b/>
          <w:bCs/>
        </w:rPr>
        <w:t xml:space="preserve">Incumprimento das Obrigações de Pagamento</w:t>
      </w:r>
    </w:p>
    <w:p>
      <w:pPr>
        <w:pStyle w:val="Compact"/>
        <w:numPr>
          <w:ilvl w:val="1"/>
          <w:numId w:val="1003"/>
        </w:numPr>
      </w:pPr>
      <w:r>
        <w:t xml:space="preserve">O réu deixou de pagar as rendas referentes aos meses de</w:t>
      </w:r>
      <w:r>
        <w:t xml:space="preserve"> </w:t>
      </w:r>
      <w:r>
        <w:rPr>
          <w:b/>
          <w:bCs/>
        </w:rPr>
        <w:t xml:space="preserve">maio a dezembro de 2023</w:t>
      </w:r>
      <w:r>
        <w:t xml:space="preserve">, totalizando</w:t>
      </w:r>
      <w:r>
        <w:t xml:space="preserve"> </w:t>
      </w:r>
      <w:r>
        <w:rPr>
          <w:b/>
          <w:bCs/>
        </w:rPr>
        <w:t xml:space="preserve">oito (8) meses em dívida</w:t>
      </w:r>
      <w:r>
        <w:t xml:space="preserve">, correspondentes a</w:t>
      </w:r>
      <w:r>
        <w:t xml:space="preserve"> </w:t>
      </w:r>
      <w:r>
        <w:rPr>
          <w:b/>
          <w:bCs/>
        </w:rPr>
        <w:t xml:space="preserve">€ 20.000,00 (vinte mil euros)</w:t>
      </w:r>
      <w:r>
        <w:t xml:space="preserve">.</w:t>
      </w:r>
      <w:r>
        <w:br/>
      </w:r>
    </w:p>
    <w:p>
      <w:pPr>
        <w:pStyle w:val="Compact"/>
        <w:numPr>
          <w:ilvl w:val="1"/>
          <w:numId w:val="1003"/>
        </w:numPr>
      </w:pPr>
      <w:r>
        <w:t xml:space="preserve">Apesar de múltiplas notificações extrajudiciais enviadas em</w:t>
      </w:r>
      <w:r>
        <w:t xml:space="preserve"> </w:t>
      </w:r>
      <w:r>
        <w:rPr>
          <w:b/>
          <w:bCs/>
        </w:rPr>
        <w:t xml:space="preserve">10 de janeiro, 20 de fevereiro e 15 de março de 2024</w:t>
      </w:r>
      <w:r>
        <w:t xml:space="preserve">, o réu não regularizou a situação nem apresentou justificativa plausível.</w:t>
      </w:r>
    </w:p>
    <w:p>
      <w:pPr>
        <w:pStyle w:val="Compact"/>
        <w:numPr>
          <w:ilvl w:val="0"/>
          <w:numId w:val="1001"/>
        </w:numPr>
      </w:pPr>
      <w:r>
        <w:rPr>
          <w:b/>
          <w:bCs/>
        </w:rPr>
        <w:t xml:space="preserve">Obras Não Autorizadas</w:t>
      </w:r>
    </w:p>
    <w:p>
      <w:pPr>
        <w:pStyle w:val="Compact"/>
        <w:numPr>
          <w:ilvl w:val="1"/>
          <w:numId w:val="1004"/>
        </w:numPr>
      </w:pPr>
      <w:r>
        <w:t xml:space="preserve">Entre</w:t>
      </w:r>
      <w:r>
        <w:t xml:space="preserve"> </w:t>
      </w:r>
      <w:r>
        <w:rPr>
          <w:b/>
          <w:bCs/>
        </w:rPr>
        <w:t xml:space="preserve">abril e junho de 2023</w:t>
      </w:r>
      <w:r>
        <w:t xml:space="preserve">, o réu realizou obras de remodelação interior no imóvel, alterando a disposição das instalações elétricas e hidráulicas, sem prévia autorização escrita do senhorio, violando a cláusula 7.º do contrato.</w:t>
      </w:r>
      <w:r>
        <w:br/>
      </w:r>
    </w:p>
    <w:p>
      <w:pPr>
        <w:pStyle w:val="Compact"/>
        <w:numPr>
          <w:ilvl w:val="1"/>
          <w:numId w:val="1004"/>
        </w:numPr>
      </w:pPr>
      <w:r>
        <w:t xml:space="preserve">As obras causaram danos estruturais que exigiram reparação urgente, tendo o senhorio procedido à sua correção em</w:t>
      </w:r>
      <w:r>
        <w:t xml:space="preserve"> </w:t>
      </w:r>
      <w:r>
        <w:rPr>
          <w:b/>
          <w:bCs/>
        </w:rPr>
        <w:t xml:space="preserve">10 de julho de 2023</w:t>
      </w:r>
      <w:r>
        <w:t xml:space="preserve">, ao custo de</w:t>
      </w:r>
      <w:r>
        <w:t xml:space="preserve"> </w:t>
      </w:r>
      <w:r>
        <w:rPr>
          <w:b/>
          <w:bCs/>
        </w:rPr>
        <w:t xml:space="preserve">€ 5.000,00 (cinco mil euros)</w:t>
      </w:r>
      <w:r>
        <w:t xml:space="preserve">, comprovado por fatura nº 2023/07/001.</w:t>
      </w:r>
    </w:p>
    <w:p>
      <w:pPr>
        <w:pStyle w:val="Compact"/>
        <w:numPr>
          <w:ilvl w:val="0"/>
          <w:numId w:val="1001"/>
        </w:numPr>
      </w:pPr>
      <w:r>
        <w:rPr>
          <w:b/>
          <w:bCs/>
        </w:rPr>
        <w:t xml:space="preserve">Caducidade do Contrato</w:t>
      </w:r>
    </w:p>
    <w:p>
      <w:pPr>
        <w:pStyle w:val="Compact"/>
        <w:numPr>
          <w:ilvl w:val="1"/>
          <w:numId w:val="1005"/>
        </w:numPr>
      </w:pPr>
      <w:r>
        <w:t xml:space="preserve">Nos termos do artigo 1076.º do Código Civil, a falta de pagamento de duas rendas consecutivas faculta ao senhorio a resolução do contrato.</w:t>
      </w:r>
      <w:r>
        <w:br/>
      </w:r>
    </w:p>
    <w:p>
      <w:pPr>
        <w:pStyle w:val="Compact"/>
        <w:numPr>
          <w:ilvl w:val="1"/>
          <w:numId w:val="1005"/>
        </w:numPr>
      </w:pPr>
      <w:r>
        <w:t xml:space="preserve">Dada a mora prolongada (oito meses) e a violação das cláusulas contratuais, o contrato encontra‑se, de pleno direito,</w:t>
      </w:r>
      <w:r>
        <w:t xml:space="preserve"> </w:t>
      </w:r>
      <w:r>
        <w:rPr>
          <w:b/>
          <w:bCs/>
        </w:rPr>
        <w:t xml:space="preserve">caducado</w:t>
      </w:r>
      <w:r>
        <w:t xml:space="preserve"> </w:t>
      </w:r>
      <w:r>
        <w:t xml:space="preserve">a partir de</w:t>
      </w:r>
      <w:r>
        <w:t xml:space="preserve"> </w:t>
      </w:r>
      <w:r>
        <w:rPr>
          <w:b/>
          <w:bCs/>
        </w:rPr>
        <w:t xml:space="preserve">1 de janeiro de 2024</w:t>
      </w:r>
      <w:r>
        <w:t xml:space="preserve">.</w:t>
      </w:r>
    </w:p>
    <w:p>
      <w:r>
        <w:pict>
          <v:rect style="width:0;height:1.5pt" o:hralign="center" o:hrstd="t" o:hr="t"/>
        </w:pict>
      </w:r>
    </w:p>
    <w:bookmarkEnd w:id="11"/>
    <w:bookmarkStart w:id="12" w:name="ii.-fundamentação-jurídica"/>
    <w:p>
      <w:pPr>
        <w:pStyle w:val="Heading2"/>
      </w:pPr>
      <w:r>
        <w:t xml:space="preserve">II. Fundamentação Jurídica</w:t>
      </w:r>
    </w:p>
    <w:tbl>
      <w:tblPr>
        <w:tblStyle w:val="Table"/>
        <w:tblW w:type="pct" w:w="5000"/>
        <w:tblLayout w:type="fixed"/>
        <w:tblLook w:firstRow="1" w:lastRow="0" w:firstColumn="0" w:lastColumn="0" w:noHBand="0" w:noVBand="0" w:val="0020"/>
      </w:tblPr>
      <w:tblGrid>
        <w:gridCol w:w="792"/>
        <w:gridCol w:w="3168"/>
        <w:gridCol w:w="3960"/>
      </w:tblGrid>
      <w:tr>
        <w:trPr>
          <w:tblHeader w:val="on"/>
        </w:trPr>
        <w:tc>
          <w:tcPr/>
          <w:p>
            <w:pPr>
              <w:pStyle w:val="Compact"/>
            </w:pPr>
            <w:r>
              <w:t xml:space="preserve">Nº</w:t>
            </w:r>
          </w:p>
        </w:tc>
        <w:tc>
          <w:tcPr/>
          <w:p>
            <w:pPr>
              <w:pStyle w:val="Compact"/>
            </w:pPr>
            <w:r>
              <w:t xml:space="preserve">Fundamentação</w:t>
            </w:r>
          </w:p>
        </w:tc>
        <w:tc>
          <w:tcPr/>
          <w:p>
            <w:pPr>
              <w:pStyle w:val="Compact"/>
            </w:pPr>
            <w:r>
              <w:t xml:space="preserve">Dispositivo Legal</w:t>
            </w:r>
          </w:p>
        </w:tc>
      </w:tr>
      <w:tr>
        <w:tc>
          <w:tcPr/>
          <w:p>
            <w:pPr>
              <w:pStyle w:val="Compact"/>
            </w:pPr>
            <w:r>
              <w:t xml:space="preserve">1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Incumprimento das obrigações de pagamento</w:t>
            </w:r>
          </w:p>
        </w:tc>
        <w:tc>
          <w:tcPr/>
          <w:p>
            <w:pPr>
              <w:pStyle w:val="Compact"/>
            </w:pPr>
            <w:r>
              <w:t xml:space="preserve">Artigos 1075.º e 1076.º do Código Civil (caducidade por mora)</w:t>
            </w:r>
          </w:p>
        </w:tc>
      </w:tr>
      <w:tr>
        <w:tc>
          <w:tcPr/>
          <w:p>
            <w:pPr>
              <w:pStyle w:val="Compact"/>
            </w:pPr>
            <w:r>
              <w:t xml:space="preserve">2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Violação da cláusula de autorização de obras</w:t>
            </w:r>
          </w:p>
        </w:tc>
        <w:tc>
          <w:tcPr/>
          <w:p>
            <w:pPr>
              <w:pStyle w:val="Compact"/>
            </w:pPr>
            <w:r>
              <w:t xml:space="preserve">Artigo 1098.º do Código Civil (obrigação de conservação)</w:t>
            </w:r>
          </w:p>
        </w:tc>
      </w:tr>
      <w:tr>
        <w:tc>
          <w:tcPr/>
          <w:p>
            <w:pPr>
              <w:pStyle w:val="Compact"/>
            </w:pPr>
            <w:r>
              <w:t xml:space="preserve">3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Direito ao despejo</w:t>
            </w:r>
          </w:p>
        </w:tc>
        <w:tc>
          <w:tcPr/>
          <w:p>
            <w:pPr>
              <w:pStyle w:val="Compact"/>
            </w:pPr>
            <w:r>
              <w:t xml:space="preserve">Artigos 567.º e seguintes do Código de Processo Civil (ação especial de despejo)</w:t>
            </w:r>
          </w:p>
        </w:tc>
      </w:tr>
      <w:tr>
        <w:tc>
          <w:tcPr/>
          <w:p>
            <w:pPr>
              <w:pStyle w:val="Compact"/>
            </w:pPr>
            <w:r>
              <w:t xml:space="preserve">4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Cobrança de rendas em dívida e juros moratórios</w:t>
            </w:r>
          </w:p>
        </w:tc>
        <w:tc>
          <w:tcPr/>
          <w:p>
            <w:pPr>
              <w:pStyle w:val="Compact"/>
            </w:pPr>
            <w:r>
              <w:t xml:space="preserve">Artigos 483.º e 484.º do Código Civil (juros moratórios)</w:t>
            </w:r>
          </w:p>
        </w:tc>
      </w:tr>
      <w:tr>
        <w:tc>
          <w:tcPr/>
          <w:p>
            <w:pPr>
              <w:pStyle w:val="Compact"/>
            </w:pPr>
            <w:r>
              <w:t xml:space="preserve">5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Indemnização por danos e custos de obras</w:t>
            </w:r>
          </w:p>
        </w:tc>
        <w:tc>
          <w:tcPr/>
          <w:p>
            <w:pPr>
              <w:pStyle w:val="Compact"/>
            </w:pPr>
            <w:r>
              <w:t xml:space="preserve">Artigos 483.º, 485.º e 586.º do Código Civil (responsabilidade civil)</w:t>
            </w:r>
          </w:p>
        </w:tc>
      </w:tr>
      <w:tr>
        <w:tc>
          <w:tcPr/>
          <w:p>
            <w:pPr>
              <w:pStyle w:val="Compact"/>
            </w:pPr>
            <w:r>
              <w:t xml:space="preserve">6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Condenação em custas e honorários</w:t>
            </w:r>
          </w:p>
        </w:tc>
        <w:tc>
          <w:tcPr/>
          <w:p>
            <w:pPr>
              <w:pStyle w:val="Compact"/>
            </w:pPr>
            <w:r>
              <w:t xml:space="preserve">Artigos 84.º e 85.º do Código de Processo Civil</w:t>
            </w:r>
          </w:p>
        </w:tc>
      </w:tr>
    </w:tbl>
    <w:p>
      <w:r>
        <w:pict>
          <v:rect style="width:0;height:1.5pt" o:hralign="center" o:hrstd="t" o:hr="t"/>
        </w:pict>
      </w:r>
    </w:p>
    <w:bookmarkEnd w:id="12"/>
    <w:bookmarkStart w:id="13" w:name="iii.-pedidos"/>
    <w:p>
      <w:pPr>
        <w:pStyle w:val="Heading2"/>
      </w:pPr>
      <w:r>
        <w:t xml:space="preserve">III. Pedidos</w:t>
      </w:r>
    </w:p>
    <w:p>
      <w:pPr>
        <w:pStyle w:val="BlockText"/>
      </w:pPr>
      <w:r>
        <w:rPr>
          <w:b/>
          <w:bCs/>
        </w:rPr>
        <w:t xml:space="preserve">Requer, nos termos do artigo 567.º do CPC, a V. Exa. que se digne a:</w:t>
      </w:r>
    </w:p>
    <w:p>
      <w:pPr>
        <w:pStyle w:val="Compact"/>
        <w:numPr>
          <w:ilvl w:val="0"/>
          <w:numId w:val="1006"/>
        </w:numPr>
      </w:pPr>
      <w:r>
        <w:rPr>
          <w:b/>
          <w:bCs/>
        </w:rPr>
        <w:t xml:space="preserve">Declarar a resolução e caducidade do contrato de arrendamento comercial celebrado entre as partes</w:t>
      </w:r>
      <w:r>
        <w:t xml:space="preserve">, com efeitos retroactivos a</w:t>
      </w:r>
      <w:r>
        <w:t xml:space="preserve"> </w:t>
      </w:r>
      <w:r>
        <w:rPr>
          <w:b/>
          <w:bCs/>
        </w:rPr>
        <w:t xml:space="preserve">1 de janeiro de 2024</w:t>
      </w:r>
      <w:r>
        <w:t xml:space="preserve">;</w:t>
      </w:r>
      <w:r>
        <w:br/>
      </w:r>
    </w:p>
    <w:p>
      <w:pPr>
        <w:pStyle w:val="Compact"/>
        <w:numPr>
          <w:ilvl w:val="0"/>
          <w:numId w:val="1006"/>
        </w:numPr>
      </w:pPr>
      <w:r>
        <w:rPr>
          <w:b/>
          <w:bCs/>
        </w:rPr>
        <w:t xml:space="preserve">Ordenar o despejo do réu</w:t>
      </w:r>
      <w:r>
        <w:t xml:space="preserve"> </w:t>
      </w:r>
      <w:r>
        <w:t xml:space="preserve">do imóvel sito na</w:t>
      </w:r>
      <w:r>
        <w:t xml:space="preserve"> </w:t>
      </w:r>
      <w:r>
        <w:rPr>
          <w:b/>
          <w:bCs/>
        </w:rPr>
        <w:t xml:space="preserve">Av. da República, 78, 1050‑150 Lisboa</w:t>
      </w:r>
      <w:r>
        <w:t xml:space="preserve">, concedendo-lhe prazo de</w:t>
      </w:r>
      <w:r>
        <w:t xml:space="preserve"> </w:t>
      </w:r>
      <w:r>
        <w:rPr>
          <w:b/>
          <w:bCs/>
        </w:rPr>
        <w:t xml:space="preserve">trinta (30) dias</w:t>
      </w:r>
      <w:r>
        <w:t xml:space="preserve"> </w:t>
      </w:r>
      <w:r>
        <w:t xml:space="preserve">para desocupar o espaço, nos termos do artigo 568.º do CPC;</w:t>
      </w:r>
      <w:r>
        <w:br/>
      </w:r>
    </w:p>
    <w:p>
      <w:pPr>
        <w:pStyle w:val="Compact"/>
        <w:numPr>
          <w:ilvl w:val="0"/>
          <w:numId w:val="1006"/>
        </w:numPr>
      </w:pPr>
      <w:r>
        <w:rPr>
          <w:b/>
          <w:bCs/>
        </w:rPr>
        <w:t xml:space="preserve">Condenar o réu ao pagamento das rendas em dívida</w:t>
      </w:r>
      <w:r>
        <w:t xml:space="preserve">, no valor de</w:t>
      </w:r>
      <w:r>
        <w:t xml:space="preserve"> </w:t>
      </w:r>
      <w:r>
        <w:rPr>
          <w:b/>
          <w:bCs/>
        </w:rPr>
        <w:t xml:space="preserve">€ 20.000,00</w:t>
      </w:r>
      <w:r>
        <w:t xml:space="preserve">, acrescidas de juros moratórios à taxa legal de</w:t>
      </w:r>
      <w:r>
        <w:t xml:space="preserve"> </w:t>
      </w:r>
      <w:r>
        <w:rPr>
          <w:b/>
          <w:bCs/>
        </w:rPr>
        <w:t xml:space="preserve">4 % ao ano</w:t>
      </w:r>
      <w:r>
        <w:t xml:space="preserve">, calculados desde a data de cada vencimento até ao efetivo pagamento;</w:t>
      </w:r>
      <w:r>
        <w:br/>
      </w:r>
    </w:p>
    <w:p>
      <w:pPr>
        <w:pStyle w:val="Compact"/>
        <w:numPr>
          <w:ilvl w:val="0"/>
          <w:numId w:val="1006"/>
        </w:numPr>
      </w:pPr>
      <w:r>
        <w:rPr>
          <w:b/>
          <w:bCs/>
        </w:rPr>
        <w:t xml:space="preserve">Condenar o réu ao pagamento da indemnização pelos danos e custos das obras não autorizadas</w:t>
      </w:r>
      <w:r>
        <w:t xml:space="preserve">, no valor de</w:t>
      </w:r>
      <w:r>
        <w:t xml:space="preserve"> </w:t>
      </w:r>
      <w:r>
        <w:rPr>
          <w:b/>
          <w:bCs/>
        </w:rPr>
        <w:t xml:space="preserve">€ 5.000,00</w:t>
      </w:r>
      <w:r>
        <w:t xml:space="preserve">, acrescidos de juros de mora;</w:t>
      </w:r>
      <w:r>
        <w:br/>
      </w:r>
    </w:p>
    <w:p>
      <w:pPr>
        <w:pStyle w:val="Compact"/>
        <w:numPr>
          <w:ilvl w:val="0"/>
          <w:numId w:val="1006"/>
        </w:numPr>
      </w:pPr>
      <w:r>
        <w:rPr>
          <w:b/>
          <w:bCs/>
        </w:rPr>
        <w:t xml:space="preserve">Condenar o réu ao pagamento das custas processuais e dos honorários de advogado</w:t>
      </w:r>
      <w:r>
        <w:t xml:space="preserve">, nos termos dos artigos 84.º e 85.º do CPC, a fixar em</w:t>
      </w:r>
      <w:r>
        <w:t xml:space="preserve"> </w:t>
      </w:r>
      <w:r>
        <w:rPr>
          <w:b/>
          <w:bCs/>
        </w:rPr>
        <w:t xml:space="preserve">10 %</w:t>
      </w:r>
      <w:r>
        <w:t xml:space="preserve"> </w:t>
      </w:r>
      <w:r>
        <w:t xml:space="preserve">do valor da condenação;</w:t>
      </w:r>
      <w:r>
        <w:br/>
      </w:r>
    </w:p>
    <w:p>
      <w:pPr>
        <w:pStyle w:val="Compact"/>
        <w:numPr>
          <w:ilvl w:val="0"/>
          <w:numId w:val="1006"/>
        </w:numPr>
      </w:pPr>
      <w:r>
        <w:rPr>
          <w:b/>
          <w:bCs/>
        </w:rPr>
        <w:t xml:space="preserve">Provar o alegado por todos os meios de prova admitidos em direito</w:t>
      </w:r>
      <w:r>
        <w:t xml:space="preserve">, nomeadamente:</w:t>
      </w:r>
    </w:p>
    <w:p>
      <w:pPr>
        <w:pStyle w:val="Compact"/>
        <w:numPr>
          <w:ilvl w:val="1"/>
          <w:numId w:val="1007"/>
        </w:numPr>
      </w:pPr>
      <w:r>
        <w:t xml:space="preserve">Documental (cópia do contrato de arrendamento, extratos bancários, faturas, notificações extrajudiciais);</w:t>
      </w:r>
      <w:r>
        <w:br/>
      </w:r>
    </w:p>
    <w:p>
      <w:pPr>
        <w:pStyle w:val="Compact"/>
        <w:numPr>
          <w:ilvl w:val="1"/>
          <w:numId w:val="1007"/>
        </w:numPr>
      </w:pPr>
      <w:r>
        <w:t xml:space="preserve">Testemunhal (declaração de duas testemunhas que presenciaram as obras não autorizadas);</w:t>
      </w:r>
      <w:r>
        <w:br/>
      </w:r>
    </w:p>
    <w:p>
      <w:pPr>
        <w:pStyle w:val="Compact"/>
        <w:numPr>
          <w:ilvl w:val="1"/>
          <w:numId w:val="1007"/>
        </w:numPr>
      </w:pPr>
      <w:r>
        <w:t xml:space="preserve">Pericial (peritagem do estado das obras e dos danos causados).</w:t>
      </w:r>
    </w:p>
    <w:p>
      <w:r>
        <w:pict>
          <v:rect style="width:0;height:1.5pt" o:hralign="center" o:hrstd="t" o:hr="t"/>
        </w:pict>
      </w:r>
    </w:p>
    <w:bookmarkEnd w:id="13"/>
    <w:bookmarkStart w:id="14" w:name="iv.-valor-da-causa"/>
    <w:p>
      <w:pPr>
        <w:pStyle w:val="Heading2"/>
      </w:pPr>
      <w:r>
        <w:t xml:space="preserve">IV. Valor da Causa</w:t>
      </w:r>
    </w:p>
    <w:p>
      <w:pPr>
        <w:pStyle w:val="FirstParagraph"/>
      </w:pPr>
      <w:r>
        <w:t xml:space="preserve">Para efeitos de justiça, atribui‑se à presente ação o valor de</w:t>
      </w:r>
      <w:r>
        <w:t xml:space="preserve"> </w:t>
      </w:r>
      <w:r>
        <w:rPr>
          <w:b/>
          <w:bCs/>
        </w:rPr>
        <w:t xml:space="preserve">€ 30.000,00 (trinta mil euros)</w:t>
      </w:r>
      <w:r>
        <w:t xml:space="preserve">, correspondente à soma das rendas em dívida, juros e indemnização, nos termos do artigo 2.º do CPC.</w:t>
      </w:r>
    </w:p>
    <w:p>
      <w:r>
        <w:pict>
          <v:rect style="width:0;height:1.5pt" o:hralign="center" o:hrstd="t" o:hr="t"/>
        </w:pict>
      </w:r>
    </w:p>
    <w:bookmarkEnd w:id="14"/>
    <w:bookmarkStart w:id="15" w:name="v.-documentos-que-acompanham-a-petição"/>
    <w:p>
      <w:pPr>
        <w:pStyle w:val="Heading2"/>
      </w:pPr>
      <w:r>
        <w:t xml:space="preserve">V. Documentos que acompanham a petição</w:t>
      </w:r>
    </w:p>
    <w:tbl>
      <w:tblPr>
        <w:tblStyle w:val="Table"/>
        <w:tblW w:type="pct" w:w="5000"/>
        <w:tblLayout w:type="fixed"/>
        <w:tblLook w:firstRow="1" w:lastRow="0" w:firstColumn="0" w:lastColumn="0" w:noHBand="0" w:noVBand="0" w:val="0020"/>
      </w:tblPr>
      <w:tblGrid>
        <w:gridCol w:w="1218"/>
        <w:gridCol w:w="3350"/>
        <w:gridCol w:w="3350"/>
      </w:tblGrid>
      <w:tr>
        <w:trPr>
          <w:tblHeader w:val="on"/>
        </w:trPr>
        <w:tc>
          <w:tcPr/>
          <w:p>
            <w:pPr>
              <w:pStyle w:val="Compact"/>
            </w:pPr>
            <w:r>
              <w:t xml:space="preserve">Nº</w:t>
            </w:r>
          </w:p>
        </w:tc>
        <w:tc>
          <w:tcPr/>
          <w:p>
            <w:pPr>
              <w:pStyle w:val="Compact"/>
            </w:pPr>
            <w:r>
              <w:t xml:space="preserve">Documento</w:t>
            </w:r>
          </w:p>
        </w:tc>
        <w:tc>
          <w:tcPr/>
          <w:p>
            <w:pPr>
              <w:pStyle w:val="Compact"/>
            </w:pPr>
            <w:r>
              <w:t xml:space="preserve">Descrição</w:t>
            </w:r>
          </w:p>
        </w:tc>
      </w:tr>
      <w:tr>
        <w:tc>
          <w:tcPr/>
          <w:p>
            <w:pPr>
              <w:pStyle w:val="Compact"/>
            </w:pPr>
            <w:r>
              <w:t xml:space="preserve">1</w:t>
            </w:r>
          </w:p>
        </w:tc>
        <w:tc>
          <w:tcPr/>
          <w:p>
            <w:pPr>
              <w:pStyle w:val="Compact"/>
            </w:pPr>
            <w:r>
              <w:t xml:space="preserve">Contrato de Arrendamento Comercial (cópia autenticada)</w:t>
            </w:r>
          </w:p>
        </w:tc>
        <w:tc>
          <w:tcPr/>
          <w:p>
            <w:pPr>
              <w:pStyle w:val="Compact"/>
            </w:pPr>
          </w:p>
        </w:tc>
      </w:tr>
      <w:tr>
        <w:tc>
          <w:tcPr/>
          <w:p>
            <w:pPr>
              <w:pStyle w:val="Compact"/>
            </w:pPr>
            <w:r>
              <w:t xml:space="preserve">2</w:t>
            </w:r>
          </w:p>
        </w:tc>
        <w:tc>
          <w:tcPr/>
          <w:p>
            <w:pPr>
              <w:pStyle w:val="Compact"/>
            </w:pPr>
            <w:r>
              <w:t xml:space="preserve">Extratos bancários que comprovam a falta de pagamento (janeiro a dezembro de 2023)</w:t>
            </w:r>
          </w:p>
        </w:tc>
        <w:tc>
          <w:tcPr/>
          <w:p>
            <w:pPr>
              <w:pStyle w:val="Compact"/>
            </w:pPr>
          </w:p>
        </w:tc>
      </w:tr>
      <w:tr>
        <w:tc>
          <w:tcPr/>
          <w:p>
            <w:pPr>
              <w:pStyle w:val="Compact"/>
            </w:pPr>
            <w:r>
              <w:t xml:space="preserve">3</w:t>
            </w:r>
          </w:p>
        </w:tc>
        <w:tc>
          <w:tcPr/>
          <w:p>
            <w:pPr>
              <w:pStyle w:val="Compact"/>
            </w:pPr>
            <w:r>
              <w:t xml:space="preserve">Notificações extrajudiciais enviadas (10/01/2024, 20/02/2024, 15/03/2024)</w:t>
            </w:r>
          </w:p>
        </w:tc>
        <w:tc>
          <w:tcPr/>
          <w:p>
            <w:pPr>
              <w:pStyle w:val="Compact"/>
            </w:pPr>
          </w:p>
        </w:tc>
      </w:tr>
      <w:tr>
        <w:tc>
          <w:tcPr/>
          <w:p>
            <w:pPr>
              <w:pStyle w:val="Compact"/>
            </w:pPr>
            <w:r>
              <w:t xml:space="preserve">4</w:t>
            </w:r>
          </w:p>
        </w:tc>
        <w:tc>
          <w:tcPr/>
          <w:p>
            <w:pPr>
              <w:pStyle w:val="Compact"/>
            </w:pPr>
            <w:r>
              <w:t xml:space="preserve">Fatura nº 2023/07/001 (reparação das obras)</w:t>
            </w:r>
          </w:p>
        </w:tc>
        <w:tc>
          <w:tcPr/>
          <w:p>
            <w:pPr>
              <w:pStyle w:val="Compact"/>
            </w:pPr>
          </w:p>
        </w:tc>
      </w:tr>
      <w:tr>
        <w:tc>
          <w:tcPr/>
          <w:p>
            <w:pPr>
              <w:pStyle w:val="Compact"/>
            </w:pPr>
            <w:r>
              <w:t xml:space="preserve">5</w:t>
            </w:r>
          </w:p>
        </w:tc>
        <w:tc>
          <w:tcPr/>
          <w:p>
            <w:pPr>
              <w:pStyle w:val="Compact"/>
            </w:pPr>
            <w:r>
              <w:t xml:space="preserve">Fotografias do imóvel antes e depois das obras não autorizadas</w:t>
            </w:r>
          </w:p>
        </w:tc>
        <w:tc>
          <w:tcPr/>
          <w:p>
            <w:pPr>
              <w:pStyle w:val="Compact"/>
            </w:pPr>
          </w:p>
        </w:tc>
      </w:tr>
      <w:tr>
        <w:tc>
          <w:tcPr/>
          <w:p>
            <w:pPr>
              <w:pStyle w:val="Compact"/>
            </w:pPr>
            <w:r>
              <w:t xml:space="preserve">6</w:t>
            </w:r>
          </w:p>
        </w:tc>
        <w:tc>
          <w:tcPr/>
          <w:p>
            <w:pPr>
              <w:pStyle w:val="Compact"/>
            </w:pPr>
            <w:r>
              <w:t xml:space="preserve">Declarações de testemunhas (nome, profissão, contacto)</w:t>
            </w:r>
          </w:p>
        </w:tc>
        <w:tc>
          <w:tcPr/>
          <w:p>
            <w:pPr>
              <w:pStyle w:val="Compact"/>
            </w:pPr>
          </w:p>
        </w:tc>
      </w:tr>
      <w:tr>
        <w:tc>
          <w:tcPr/>
          <w:p>
            <w:pPr>
              <w:pStyle w:val="Compact"/>
            </w:pPr>
            <w:r>
              <w:t xml:space="preserve">7</w:t>
            </w:r>
          </w:p>
        </w:tc>
        <w:tc>
          <w:tcPr/>
          <w:p>
            <w:pPr>
              <w:pStyle w:val="Compact"/>
            </w:pPr>
            <w:r>
              <w:t xml:space="preserve">Laudo pericial (em fase de produção)</w:t>
            </w:r>
          </w:p>
        </w:tc>
        <w:tc>
          <w:tcPr/>
          <w:p>
            <w:pPr>
              <w:pStyle w:val="Compact"/>
            </w:pPr>
          </w:p>
        </w:tc>
      </w:tr>
    </w:tbl>
    <w:p>
      <w:r>
        <w:pict>
          <v:rect style="width:0;height:1.5pt" o:hralign="center" o:hrstd="t" o:hr="t"/>
        </w:pict>
      </w:r>
    </w:p>
    <w:bookmarkEnd w:id="15"/>
    <w:bookmarkStart w:id="16" w:name="vi.-pedido-de-citação"/>
    <w:p>
      <w:pPr>
        <w:pStyle w:val="Heading2"/>
      </w:pPr>
      <w:r>
        <w:t xml:space="preserve">VI. Pedido de Citação</w:t>
      </w:r>
    </w:p>
    <w:p>
      <w:pPr>
        <w:pStyle w:val="FirstParagraph"/>
      </w:pPr>
      <w:r>
        <w:t xml:space="preserve">Requer a citação do réu,</w:t>
      </w:r>
      <w:r>
        <w:t xml:space="preserve"> </w:t>
      </w:r>
      <w:r>
        <w:rPr>
          <w:b/>
          <w:bCs/>
        </w:rPr>
        <w:t xml:space="preserve">Sr. João da Silva</w:t>
      </w:r>
      <w:r>
        <w:t xml:space="preserve">, por carta com aviso de receção, para que, dentro do prazo legal, apresente contestação, sob pena de revelia e confissão nos termos do artigo 607.º do CPC.</w:t>
      </w:r>
    </w:p>
    <w:p>
      <w:r>
        <w:pict>
          <v:rect style="width:0;height:1.5pt" o:hralign="center" o:hrstd="t" o:hr="t"/>
        </w:pict>
      </w:r>
    </w:p>
    <w:p>
      <w:pPr>
        <w:pStyle w:val="FirstParagraph"/>
      </w:pPr>
      <w:r>
        <w:rPr>
          <w:b/>
          <w:bCs/>
        </w:rPr>
        <w:t xml:space="preserve">Lisboa, 22 de fevereiro de 2026</w:t>
      </w:r>
    </w:p>
    <w:p>
      <w:r>
        <w:pict>
          <v:rect style="width:0;height:1.5pt" o:hralign="center" o:hrstd="t" o:hr="t"/>
        </w:pict>
      </w:r>
    </w:p>
    <w:p>
      <w:pPr>
        <w:pStyle w:val="FirstParagraph"/>
      </w:pPr>
      <w:r>
        <w:rPr>
          <w:b/>
          <w:bCs/>
        </w:rPr>
        <w:t xml:space="preserve">_____________________________</w:t>
      </w:r>
      <w:r>
        <w:br/>
      </w:r>
      <w:r>
        <w:t xml:space="preserve">Dr. Ana Martins</w:t>
      </w:r>
      <w:r>
        <w:br/>
      </w:r>
      <w:r>
        <w:t xml:space="preserve">Advogada – OAB 12345</w:t>
      </w:r>
    </w:p>
    <w:p>
      <w:pPr>
        <w:pStyle w:val="BodyText"/>
      </w:pPr>
      <w:r>
        <w:rPr>
          <w:b/>
          <w:bCs/>
        </w:rPr>
        <w:t xml:space="preserve">_____________________________</w:t>
      </w:r>
      <w:r>
        <w:br/>
      </w:r>
      <w:r>
        <w:t xml:space="preserve">Dr. Luís Pereira</w:t>
      </w:r>
      <w:r>
        <w:br/>
      </w:r>
      <w:r>
        <w:t xml:space="preserve">Advogado – OAB 67890</w:t>
      </w:r>
    </w:p>
    <w:p>
      <w:pPr>
        <w:pStyle w:val="BodyText"/>
      </w:pPr>
      <w:r>
        <w:rPr>
          <w:i/>
          <w:iCs/>
        </w:rPr>
        <w:t xml:space="preserve">Endereços para intimações:</w:t>
      </w:r>
      <w:r>
        <w:br/>
      </w:r>
      <w:r>
        <w:t xml:space="preserve">-</w:t>
      </w:r>
      <w:r>
        <w:t xml:space="preserve"> </w:t>
      </w:r>
      <w:r>
        <w:rPr>
          <w:b/>
          <w:bCs/>
        </w:rPr>
        <w:t xml:space="preserve">Empresa de Arrendamento Comercial, Lda.</w:t>
      </w:r>
      <w:r>
        <w:t xml:space="preserve">, Av. da Liberdade, 45, 1250‑145 Lisboa, NIF 504 567 890.</w:t>
      </w:r>
      <w:r>
        <w:br/>
      </w:r>
      <w:r>
        <w:t xml:space="preserve">-</w:t>
      </w:r>
      <w:r>
        <w:t xml:space="preserve"> </w:t>
      </w:r>
      <w:r>
        <w:rPr>
          <w:b/>
          <w:bCs/>
        </w:rPr>
        <w:t xml:space="preserve">Dr. Ana Martins</w:t>
      </w:r>
      <w:r>
        <w:t xml:space="preserve">, Rua da Prata, 22, 2.º Esq., 1200‑350 Lisboa.</w:t>
      </w:r>
      <w:r>
        <w:br/>
      </w:r>
      <w:r>
        <w:t xml:space="preserve">-</w:t>
      </w:r>
      <w:r>
        <w:t xml:space="preserve"> </w:t>
      </w:r>
      <w:r>
        <w:rPr>
          <w:b/>
          <w:bCs/>
        </w:rPr>
        <w:t xml:space="preserve">Dr. Luís Pereira</w:t>
      </w:r>
      <w:r>
        <w:t xml:space="preserve">, Rua da Prata, 22, 2.º Esq., 1200‑350 Lisboa.</w:t>
      </w:r>
    </w:p>
    <w:bookmarkEnd w:id="16"/>
    <w:sectPr>
      <w:footnotePr>
        <w:numRestart w:val="eachSect"/>
      </w:footnotePr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r="http://schemas.openxmlformats.org/officeDocument/2006/relationships" xmlns:w="http://schemas.openxmlformats.org/wordprocessingml/2006/main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w="http://schemas.openxmlformats.org/wordprocessingml/2006/main"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99411">
    <w:nsid w:val="00A99411"/>
    <w:multiLevelType w:val="multilevel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99711">
    <w:nsid w:val="00A99711"/>
    <w:multiLevelType w:val="multilevel"/>
    <w:lvl w:ilvl="0">
      <w:start w:val="1"/>
      <w:numFmt w:val="low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Letter"/>
      <w:lvlText w:val="%3."/>
      <w:lvlJc w:val="left"/>
      <w:pPr>
        <w:ind w:left="2160" w:hanging="360"/>
      </w:pPr>
    </w:lvl>
    <w:lvl w:ilvl="3">
      <w:start w:val="1"/>
      <w:numFmt w:val="lowerLetter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Letter"/>
      <w:lvlText w:val="%6."/>
      <w:lvlJc w:val="left"/>
      <w:pPr>
        <w:ind w:left="4320" w:hanging="360"/>
      </w:pPr>
    </w:lvl>
    <w:lvl w:ilvl="6">
      <w:start w:val="1"/>
      <w:numFmt w:val="lowerLetter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Letter"/>
      <w:lvlText w:val="%9."/>
      <w:lvlJc w:val="left"/>
      <w:pPr>
        <w:ind w:left="6480" w:hanging="360"/>
      </w:pPr>
    </w:lvl>
  </w:abstractNum>
  <w:abstractNum w:abstractNumId="991">
    <w:nsid w:val="0000A991"/>
    <w:multiLevelType w:val="multilevel"/>
    <w:lvl w:ilvl="0"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000">
    <w:abstractNumId w:val="990"/>
  </w:num>
  <w:num w:numId="1001">
    <w:abstractNumId w:val="994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2">
    <w:abstractNumId w:val="997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3">
    <w:abstractNumId w:val="997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4">
    <w:abstractNumId w:val="997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5">
    <w:abstractNumId w:val="997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6">
    <w:abstractNumId w:val="994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7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proofState w:grammar="clean" w:spelling="clean"/>
  <w:stylePaneFormatFilter w:val="0004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rsids>
  </w:rsids>
  <w:themeFontLang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zh-CN" w:val="en-US"/>
      </w:rPr>
    </w:rPrDefault>
    <w:pPrDefault>
      <w:pPr>
        <w:spacing w:after="200"/>
      </w:pPr>
    </w:pPrDefault>
  </w:docDefaults>
  <w:latentStyles w:count="276" w:defLockedState="0" w:defQFormat="0" w:defSemiHidden="0" w:defUIPriority="0" w:defUnhideWhenUsed="0"/>
  <w:style w:default="1" w:styleId="Normal" w:type="paragraph">
    <w:name w:val="Normal"/>
    <w:qFormat/>
  </w:style>
  <w:style w:styleId="BodyText" w:type="paragraph">
    <w:name w:val="Body Text"/>
    <w:basedOn w:val="Normal"/>
    <w:link w:val="BodyTextChar"/>
    <w:qFormat/>
    <w:pPr>
      <w:spacing w:after="180" w:before="180"/>
    </w:pPr>
  </w:style>
  <w:style w:customStyle="1" w:styleId="FirstParagraph" w:type="paragraph">
    <w:name w:val="First Paragraph"/>
    <w:basedOn w:val="BodyText"/>
    <w:next w:val="BodyText"/>
    <w:qFormat/>
  </w:style>
  <w:style w:customStyle="1" w:styleId="Compact" w:type="paragraph">
    <w:name w:val="Compact"/>
    <w:basedOn w:val="BodyText"/>
    <w:qFormat/>
    <w:pPr>
      <w:spacing w:after="36" w:before="36"/>
    </w:pPr>
  </w:style>
  <w:style w:styleId="Title" w:type="paragraph">
    <w:name w:val="Title"/>
    <w:basedOn w:val="Normal"/>
    <w:next w:val="BodyText"/>
    <w:link w:val="TitleChar"/>
    <w:uiPriority w:val="10"/>
    <w:qFormat/>
    <w:rsid w:val="00A10FD9"/>
    <w:pPr>
      <w:spacing w:after="80" w:line="240" w:lineRule="auto"/>
      <w:contextualSpacing/>
      <w:jc w:val="center"/>
    </w:pPr>
    <w:rPr>
      <w:rFonts w:asciiTheme="majorHAnsi" w:cstheme="majorBidi" w:eastAsiaTheme="majorEastAsia" w:hAnsiTheme="majorHAnsi"/>
      <w:sz w:val="56"/>
      <w:szCs w:val="56"/>
    </w:rPr>
  </w:style>
  <w:style w:customStyle="1" w:styleId="TitleChar" w:type="character">
    <w:name w:val="Title Char"/>
    <w:basedOn w:val="DefaultParagraphFont"/>
    <w:link w:val="Title"/>
    <w:uiPriority w:val="10"/>
    <w:rsid w:val="00A10FD9"/>
    <w:rPr>
      <w:rFonts w:asciiTheme="majorHAnsi" w:cstheme="majorBidi" w:eastAsiaTheme="majorEastAsia" w:hAnsiTheme="majorHAnsi"/>
      <w:sz w:val="56"/>
      <w:szCs w:val="56"/>
    </w:rPr>
  </w:style>
  <w:style w:styleId="Subtitle" w:type="paragraph">
    <w:name w:val="Subtitle"/>
    <w:basedOn w:val="Title"/>
    <w:next w:val="BodyText"/>
    <w:link w:val="SubtitleChar"/>
    <w:uiPriority w:val="11"/>
    <w:qFormat/>
    <w:rsid w:val="00A10FD9"/>
    <w:pPr>
      <w:numPr>
        <w:ilvl w:val="1"/>
      </w:numPr>
    </w:pPr>
    <w:rPr>
      <w:rFonts w:cstheme="majorBidi" w:eastAsiaTheme="majorEastAsia"/>
      <w:spacing w:val="15"/>
      <w:sz w:val="28"/>
      <w:szCs w:val="28"/>
    </w:rPr>
  </w:style>
  <w:style w:customStyle="1" w:styleId="SubtitleChar" w:type="character">
    <w:name w:val="Subtitle Char"/>
    <w:basedOn w:val="DefaultParagraphFont"/>
    <w:link w:val="Subtitle"/>
    <w:uiPriority w:val="11"/>
    <w:rsid w:val="00A10FD9"/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uthor" w:type="paragraph">
    <w:name w:val="Author"/>
    <w:basedOn w:val="Title"/>
    <w:next w:val="BodyText"/>
    <w:qFormat/>
    <w:pPr>
      <w:keepNext/>
      <w:keepLines/>
    </w:pPr>
    <w:rPr>
      <w:sz w:val="24"/>
      <w:szCs w:val="24"/>
    </w:rPr>
  </w:style>
  <w:style w:styleId="Date" w:type="paragraph">
    <w:name w:val="Date"/>
    <w:basedOn w:val="Title"/>
    <w:next w:val="BodyText"/>
    <w:qFormat/>
    <w:pPr>
      <w:keepNext/>
      <w:keepLines/>
    </w:pPr>
    <w:rPr>
      <w:sz w:val="24"/>
      <w:szCs w:val="24"/>
    </w:rPr>
  </w:style>
  <w:style w:customStyle="1" w:styleId="AbstractTitle" w:type="paragraph">
    <w:name w:val="Abstract Title"/>
    <w:basedOn w:val="Normal"/>
    <w:next w:val="Abstract"/>
    <w:qFormat/>
    <w:pPr>
      <w:keepNext/>
      <w:keepLines/>
      <w:spacing w:after="0" w:before="300"/>
      <w:jc w:val="center"/>
    </w:pPr>
    <w:rPr>
      <w:b/>
      <w:sz w:val="20"/>
      <w:szCs w:val="20"/>
    </w:rPr>
  </w:style>
  <w:style w:customStyle="1" w:styleId="Abstract" w:type="paragraph">
    <w:name w:val="Abstract"/>
    <w:basedOn w:val="Normal"/>
    <w:next w:val="BodyText"/>
    <w:qFormat/>
    <w:pPr>
      <w:keepNext/>
      <w:keepLines/>
      <w:spacing w:after="300" w:before="100"/>
    </w:pPr>
    <w:rPr>
      <w:sz w:val="20"/>
      <w:szCs w:val="20"/>
    </w:rPr>
  </w:style>
  <w:style w:styleId="Bibliography" w:type="paragraph">
    <w:name w:val="Bibliography"/>
    <w:basedOn w:val="Normal"/>
    <w:next w:val="Bibliography"/>
    <w:qFormat/>
    <w:pPr/>
    <w:rPr/>
  </w:style>
  <w:style w:styleId="Heading1" w:type="paragraph">
    <w:name w:val="heading 1"/>
    <w:basedOn w:val="Normal"/>
    <w:next w:val="BodyText"/>
    <w:link w:val="Heading1Char"/>
    <w:uiPriority w:val="9"/>
    <w:qFormat/>
    <w:rsid w:val="00A10FD9"/>
    <w:pPr>
      <w:keepNext/>
      <w:keepLines/>
      <w:spacing w:after="80" w:before="360"/>
      <w:outlineLvl w:val="0"/>
    </w:pPr>
    <w:rPr>
      <w:rFonts w:asciiTheme="majorHAnsi" w:cstheme="majorBidi" w:eastAsiaTheme="majorEastAsia" w:hAnsiTheme="majorHAnsi"/>
      <w:color w:themeColor="accent1" w:themeShade="BF" w:val="0F4761"/>
      <w:sz w:val="40"/>
      <w:szCs w:val="40"/>
    </w:rPr>
  </w:style>
  <w:style w:styleId="Heading2" w:type="paragraph">
    <w:name w:val="heading 2"/>
    <w:basedOn w:val="Normal"/>
    <w:next w:val="BodyText"/>
    <w:link w:val="Heading2Char"/>
    <w:uiPriority w:val="9"/>
    <w:semiHidden/>
    <w:unhideWhenUsed/>
    <w:qFormat/>
    <w:rsid w:val="00A10FD9"/>
    <w:pPr>
      <w:keepNext/>
      <w:keepLines/>
      <w:spacing w:after="80" w:before="160"/>
      <w:outlineLvl w:val="1"/>
    </w:pPr>
    <w:rPr>
      <w:rFonts w:asciiTheme="majorHAnsi" w:cstheme="majorBidi" w:eastAsiaTheme="majorEastAsia" w:hAnsiTheme="majorHAnsi"/>
      <w:color w:themeColor="accent1" w:themeShade="BF" w:val="0F4761"/>
      <w:sz w:val="32"/>
      <w:szCs w:val="32"/>
    </w:rPr>
  </w:style>
  <w:style w:styleId="Heading3" w:type="paragraph">
    <w:name w:val="heading 3"/>
    <w:basedOn w:val="Normal"/>
    <w:next w:val="BodyText"/>
    <w:link w:val="Heading3Char"/>
    <w:uiPriority w:val="9"/>
    <w:semiHidden/>
    <w:unhideWhenUsed/>
    <w:qFormat/>
    <w:rsid w:val="00A10FD9"/>
    <w:pPr>
      <w:keepNext/>
      <w:keepLines/>
      <w:spacing w:after="80" w:before="160"/>
      <w:outlineLvl w:val="2"/>
    </w:pPr>
    <w:rPr>
      <w:rFonts w:cstheme="majorBidi" w:eastAsiaTheme="majorEastAsia"/>
      <w:color w:themeColor="accent1" w:themeShade="BF" w:val="0F4761"/>
      <w:sz w:val="28"/>
      <w:szCs w:val="28"/>
    </w:rPr>
  </w:style>
  <w:style w:styleId="Heading4" w:type="paragraph">
    <w:name w:val="heading 4"/>
    <w:basedOn w:val="Normal"/>
    <w:next w:val="BodyText"/>
    <w:link w:val="Heading4Char"/>
    <w:uiPriority w:val="9"/>
    <w:semiHidden/>
    <w:unhideWhenUsed/>
    <w:qFormat/>
    <w:rsid w:val="00A10FD9"/>
    <w:pPr>
      <w:keepNext/>
      <w:keepLines/>
      <w:spacing w:after="40" w:before="80"/>
      <w:outlineLvl w:val="3"/>
    </w:pPr>
    <w:rPr>
      <w:rFonts w:cstheme="majorBidi" w:eastAsiaTheme="majorEastAsia"/>
      <w:i/>
      <w:iCs/>
      <w:color w:themeColor="accent1" w:themeShade="BF" w:val="0F4761"/>
    </w:rPr>
  </w:style>
  <w:style w:styleId="Heading5" w:type="paragraph">
    <w:name w:val="heading 5"/>
    <w:basedOn w:val="Normal"/>
    <w:next w:val="BodyText"/>
    <w:link w:val="Heading5Char"/>
    <w:uiPriority w:val="9"/>
    <w:semiHidden/>
    <w:unhideWhenUsed/>
    <w:qFormat/>
    <w:rsid w:val="00A10FD9"/>
    <w:pPr>
      <w:keepNext/>
      <w:keepLines/>
      <w:spacing w:after="40" w:before="80"/>
      <w:outlineLvl w:val="4"/>
    </w:pPr>
    <w:rPr>
      <w:rFonts w:cstheme="majorBidi" w:eastAsiaTheme="majorEastAsia"/>
      <w:color w:themeColor="accent1" w:themeShade="BF" w:val="0F4761"/>
    </w:rPr>
  </w:style>
  <w:style w:styleId="Heading6" w:type="paragraph">
    <w:name w:val="heading 6"/>
    <w:basedOn w:val="Normal"/>
    <w:next w:val="BodyText"/>
    <w:link w:val="Heading6Char"/>
    <w:uiPriority w:val="9"/>
    <w:semiHidden/>
    <w:unhideWhenUsed/>
    <w:qFormat/>
    <w:rsid w:val="00A10FD9"/>
    <w:pPr>
      <w:keepNext/>
      <w:keepLines/>
      <w:spacing w:after="0" w:before="40"/>
      <w:outlineLvl w:val="5"/>
    </w:pPr>
    <w:rPr>
      <w:rFonts w:cstheme="majorBidi" w:eastAsiaTheme="majorEastAsia"/>
      <w:i/>
      <w:iCs/>
      <w:color w:themeColor="text1" w:themeTint="A6" w:val="595959"/>
    </w:rPr>
  </w:style>
  <w:style w:styleId="Heading7" w:type="paragraph">
    <w:name w:val="heading 7"/>
    <w:basedOn w:val="Normal"/>
    <w:next w:val="BodyText"/>
    <w:link w:val="Heading7Char"/>
    <w:uiPriority w:val="9"/>
    <w:semiHidden/>
    <w:unhideWhenUsed/>
    <w:qFormat/>
    <w:rsid w:val="00A10FD9"/>
    <w:pPr>
      <w:keepNext/>
      <w:keepLines/>
      <w:spacing w:after="0" w:before="40"/>
      <w:outlineLvl w:val="6"/>
    </w:pPr>
    <w:rPr>
      <w:rFonts w:cstheme="majorBidi" w:eastAsiaTheme="majorEastAsia"/>
      <w:color w:themeColor="text1" w:themeTint="A6" w:val="595959"/>
    </w:rPr>
  </w:style>
  <w:style w:styleId="Heading8" w:type="paragraph">
    <w:name w:val="heading 8"/>
    <w:basedOn w:val="Normal"/>
    <w:next w:val="BodyText"/>
    <w:link w:val="Heading8Char"/>
    <w:uiPriority w:val="9"/>
    <w:semiHidden/>
    <w:unhideWhenUsed/>
    <w:qFormat/>
    <w:rsid w:val="00A10FD9"/>
    <w:pPr>
      <w:keepNext/>
      <w:keepLines/>
      <w:spacing w:after="0"/>
      <w:outlineLvl w:val="7"/>
    </w:pPr>
    <w:rPr>
      <w:rFonts w:cstheme="majorBidi" w:eastAsiaTheme="majorEastAsia"/>
      <w:i/>
      <w:iCs/>
      <w:color w:themeColor="text1" w:themeTint="D8" w:val="272727"/>
    </w:rPr>
  </w:style>
  <w:style w:styleId="Heading9" w:type="paragraph">
    <w:name w:val="heading 9"/>
    <w:basedOn w:val="Normal"/>
    <w:next w:val="BodyText"/>
    <w:link w:val="Heading9Char"/>
    <w:uiPriority w:val="9"/>
    <w:semiHidden/>
    <w:unhideWhenUsed/>
    <w:qFormat/>
    <w:rsid w:val="00A10FD9"/>
    <w:pPr>
      <w:keepNext/>
      <w:keepLines/>
      <w:spacing w:after="0"/>
      <w:outlineLvl w:val="8"/>
    </w:pPr>
    <w:rPr>
      <w:rFonts w:cstheme="majorBidi" w:eastAsiaTheme="majorEastAsia"/>
      <w:color w:themeColor="text1" w:themeTint="D8" w:val="272727"/>
    </w:rPr>
  </w:style>
  <w:style w:customStyle="1" w:styleId="Heading1Char" w:type="character">
    <w:name w:val="Heading 1 Char"/>
    <w:basedOn w:val="DefaultParagraphFont"/>
    <w:link w:val="Heading1"/>
    <w:uiPriority w:val="9"/>
    <w:rsid w:val="00A10FD9"/>
    <w:rPr>
      <w:rFonts w:asciiTheme="majorHAnsi" w:cstheme="majorBidi" w:eastAsiaTheme="majorEastAsia" w:hAnsiTheme="majorHAnsi"/>
      <w:color w:themeColor="accent1" w:themeShade="BF" w:val="0F4761"/>
      <w:sz w:val="40"/>
      <w:szCs w:val="40"/>
    </w:rPr>
  </w:style>
  <w:style w:customStyle="1" w:styleId="Heading2Char" w:type="character">
    <w:name w:val="Heading 2 Char"/>
    <w:basedOn w:val="DefaultParagraphFont"/>
    <w:link w:val="Heading2"/>
    <w:uiPriority w:val="9"/>
    <w:semiHidden/>
    <w:rsid w:val="00A10FD9"/>
    <w:rPr>
      <w:rFonts w:asciiTheme="majorHAnsi" w:cstheme="majorBidi" w:eastAsiaTheme="majorEastAsia" w:hAnsiTheme="majorHAnsi"/>
      <w:color w:themeColor="accent1" w:themeShade="BF" w:val="0F4761"/>
      <w:sz w:val="32"/>
      <w:szCs w:val="32"/>
    </w:rPr>
  </w:style>
  <w:style w:customStyle="1" w:styleId="Heading3Char" w:type="character">
    <w:name w:val="Heading 3 Char"/>
    <w:basedOn w:val="DefaultParagraphFont"/>
    <w:link w:val="Heading3"/>
    <w:uiPriority w:val="9"/>
    <w:semiHidden/>
    <w:rsid w:val="00A10FD9"/>
    <w:rPr>
      <w:rFonts w:cstheme="majorBidi" w:eastAsiaTheme="majorEastAsia"/>
      <w:color w:themeColor="accent1" w:themeShade="BF" w:val="0F4761"/>
      <w:sz w:val="28"/>
      <w:szCs w:val="28"/>
    </w:rPr>
  </w:style>
  <w:style w:customStyle="1" w:styleId="Heading4Char" w:type="character">
    <w:name w:val="Heading 4 Char"/>
    <w:basedOn w:val="DefaultParagraphFont"/>
    <w:link w:val="Heading4"/>
    <w:uiPriority w:val="9"/>
    <w:semiHidden/>
    <w:rsid w:val="00A10FD9"/>
    <w:rPr>
      <w:rFonts w:cstheme="majorBidi" w:eastAsiaTheme="majorEastAsia"/>
      <w:i/>
      <w:iCs/>
      <w:color w:themeColor="accent1" w:themeShade="BF" w:val="0F4761"/>
    </w:rPr>
  </w:style>
  <w:style w:customStyle="1" w:styleId="Heading5Char" w:type="character">
    <w:name w:val="Heading 5 Char"/>
    <w:basedOn w:val="DefaultParagraphFont"/>
    <w:link w:val="Heading5"/>
    <w:uiPriority w:val="9"/>
    <w:semiHidden/>
    <w:rsid w:val="00A10FD9"/>
    <w:rPr>
      <w:rFonts w:cstheme="majorBidi" w:eastAsiaTheme="majorEastAsia"/>
      <w:color w:themeColor="accent1" w:themeShade="BF" w:val="0F4761"/>
    </w:rPr>
  </w:style>
  <w:style w:customStyle="1" w:styleId="Heading6Char" w:type="character">
    <w:name w:val="Heading 6 Char"/>
    <w:basedOn w:val="DefaultParagraphFont"/>
    <w:link w:val="Heading6"/>
    <w:uiPriority w:val="9"/>
    <w:semiHidden/>
    <w:rsid w:val="00A10FD9"/>
    <w:rPr>
      <w:rFonts w:cstheme="majorBidi" w:eastAsiaTheme="majorEastAsia"/>
      <w:i/>
      <w:iCs/>
      <w:color w:themeColor="text1" w:themeTint="A6" w:val="595959"/>
    </w:rPr>
  </w:style>
  <w:style w:customStyle="1" w:styleId="Heading7Char" w:type="character">
    <w:name w:val="Heading 7 Char"/>
    <w:basedOn w:val="DefaultParagraphFont"/>
    <w:link w:val="Heading7"/>
    <w:uiPriority w:val="9"/>
    <w:semiHidden/>
    <w:rsid w:val="00A10FD9"/>
    <w:rPr>
      <w:rFonts w:cstheme="majorBidi" w:eastAsiaTheme="majorEastAsia"/>
      <w:color w:themeColor="text1" w:themeTint="A6" w:val="595959"/>
    </w:rPr>
  </w:style>
  <w:style w:customStyle="1" w:styleId="Heading8Char" w:type="character">
    <w:name w:val="Heading 8 Char"/>
    <w:basedOn w:val="DefaultParagraphFont"/>
    <w:link w:val="Heading8"/>
    <w:uiPriority w:val="9"/>
    <w:semiHidden/>
    <w:rsid w:val="00A10FD9"/>
    <w:rPr>
      <w:rFonts w:cstheme="majorBidi" w:eastAsiaTheme="majorEastAsia"/>
      <w:i/>
      <w:iCs/>
      <w:color w:themeColor="text1" w:themeTint="D8" w:val="272727"/>
    </w:rPr>
  </w:style>
  <w:style w:customStyle="1" w:styleId="Heading9Char" w:type="character">
    <w:name w:val="Heading 9 Char"/>
    <w:basedOn w:val="DefaultParagraphFont"/>
    <w:link w:val="Heading9"/>
    <w:uiPriority w:val="9"/>
    <w:semiHidden/>
    <w:rsid w:val="00A10FD9"/>
    <w:rPr>
      <w:rFonts w:cstheme="majorBidi" w:eastAsiaTheme="majorEastAsia"/>
      <w:color w:themeColor="text1" w:themeTint="D8" w:val="272727"/>
    </w:rPr>
  </w:style>
  <w:style w:styleId="BlockText" w:type="paragraph">
    <w:name w:val="Block Text"/>
    <w:basedOn w:val="BodyText"/>
    <w:next w:val="BodyText"/>
    <w:uiPriority w:val="9"/>
    <w:unhideWhenUsed/>
    <w:qFormat/>
    <w:pPr>
      <w:spacing w:after="100" w:before="100"/>
      <w:ind w:firstLine="0" w:left="480" w:right="480"/>
    </w:pPr>
  </w:style>
  <w:style w:styleId="FootnoteText" w:type="paragraph">
    <w:name w:val="Footnote Text"/>
    <w:basedOn w:val="Normal"/>
    <w:next w:val="FootnoteText"/>
    <w:uiPriority w:val="9"/>
    <w:unhideWhenUsed/>
    <w:qFormat/>
  </w:style>
  <w:style w:styleId="FootnoteBlockText" w:type="paragraph">
    <w:name w:val="Footnote Block Text"/>
    <w:basedOn w:val="FootnoteText"/>
    <w:next w:val="FootnoteText"/>
    <w:uiPriority w:val="9"/>
    <w:unhideWhenUsed/>
    <w:qFormat/>
    <w:pPr>
      <w:spacing w:after="100" w:before="100"/>
      <w:ind w:firstLine="0" w:left="480" w:right="480"/>
    </w:pPr>
  </w:style>
  <w:style w:default="1" w:styleId="DefaultParagraphFont" w:type="character">
    <w:name w:val="Default Paragraph Font"/>
    <w:semiHidden/>
    <w:unhideWhenUsed/>
  </w:style>
  <w:style w:default="1" w:styleId="Table" w:type="table">
    <w:name w:val="Table"/>
    <w:basedOn w:val="TableNormal"/>
    <w:semiHidden/>
    <w:unhideWhenUsed/>
    <w:qFormat/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cPr>
        <w:tcBorders>
          <w:bottom w:val="single"/>
        </w:tcBorders>
        <w:vAlign w:val="bottom"/>
      </w:tcPr>
    </w:tblStylePr>
  </w:style>
  <w:style w:customStyle="1" w:styleId="DefinitionTerm" w:type="paragraph">
    <w:name w:val="Definition Term"/>
    <w:basedOn w:val="Normal"/>
    <w:next w:val="Definition"/>
    <w:pPr>
      <w:keepNext/>
      <w:keepLines/>
      <w:spacing w:after="0"/>
    </w:pPr>
    <w:rPr>
      <w:b/>
    </w:rPr>
  </w:style>
  <w:style w:customStyle="1" w:styleId="Definition" w:type="paragraph">
    <w:name w:val="Definition"/>
    <w:basedOn w:val="Normal"/>
  </w:style>
  <w:style w:styleId="Caption" w:type="paragraph">
    <w:name w:val="Caption"/>
    <w:basedOn w:val="Normal"/>
    <w:link w:val="BodyTextChar"/>
    <w:pPr>
      <w:spacing w:after="120" w:before="0"/>
    </w:pPr>
    <w:rPr>
      <w:i/>
    </w:rPr>
  </w:style>
  <w:style w:customStyle="1" w:styleId="TableCaption" w:type="paragraph">
    <w:name w:val="Table Caption"/>
    <w:basedOn w:val="Caption"/>
    <w:pPr>
      <w:keepNext/>
    </w:pPr>
  </w:style>
  <w:style w:customStyle="1" w:styleId="ImageCaption" w:type="paragraph">
    <w:name w:val="Image Caption"/>
    <w:basedOn w:val="Caption"/>
  </w:style>
  <w:style w:customStyle="1" w:styleId="Figure" w:type="paragraph">
    <w:name w:val="Figure"/>
    <w:basedOn w:val="Normal"/>
  </w:style>
  <w:style w:customStyle="1" w:styleId="CaptionedFigure" w:type="paragraph">
    <w:name w:val="Captioned Figure"/>
    <w:basedOn w:val="Figure"/>
    <w:pPr>
      <w:keepNext/>
    </w:pPr>
  </w:style>
  <w:style w:customStyle="1" w:styleId="BodyTextChar" w:type="character">
    <w:name w:val="Body Text Char"/>
    <w:basedOn w:val="DefaultParagraphFont"/>
    <w:link w:val="BodyText"/>
  </w:style>
  <w:style w:customStyle="1" w:styleId="VerbatimChar" w:type="character">
    <w:name w:val="Verbatim Char"/>
    <w:basedOn w:val="BodyTextChar"/>
    <w:rPr>
      <w:rFonts w:ascii="Consolas" w:hAnsi="Consolas"/>
      <w:sz w:val="22"/>
    </w:rPr>
  </w:style>
  <w:style w:customStyle="1" w:styleId="SectionNumber" w:type="character">
    <w:name w:val="Section Number"/>
    <w:basedOn w:val="BodyTextChar"/>
  </w:style>
  <w:style w:styleId="FootnoteReference" w:type="character">
    <w:name w:val="Footnote Reference"/>
    <w:basedOn w:val="BodyTextChar"/>
    <w:rPr>
      <w:vertAlign w:val="superscript"/>
    </w:rPr>
  </w:style>
  <w:style w:styleId="Hyperlink" w:type="character">
    <w:name w:val="Hyperlink"/>
    <w:basedOn w:val="BodyTextChar"/>
    <w:rPr>
      <w:color w:themeColor="accent1" w:val="4F81BD"/>
    </w:rPr>
  </w:style>
  <w:style w:styleId="TOCHeading" w:type="paragraph">
    <w:name w:val="TOC Heading"/>
    <w:basedOn w:val="Heading1"/>
    <w:next w:val="BodyText"/>
    <w:uiPriority w:val="39"/>
    <w:unhideWhenUsed/>
    <w:qFormat/>
    <w:pPr>
      <w:spacing w:before="240" w:line="259" w:lineRule="auto"/>
      <w:outlineLvl w:val="9"/>
    </w:pPr>
    <w:rPr>
      <w:rFonts w:asciiTheme="majorHAnsi" w:cstheme="majorBidi" w:eastAsiaTheme="majorEastAsia" w:hAnsiTheme="majorHAnsi"/>
      <w:b w:val="0"/>
      <w:bCs w:val="0"/>
      <w:color w:themeColor="accent1" w:themeShade="BF" w:val="365F91"/>
    </w:rPr>
  </w:style>
  <w:style w:type="paragraph" w:customStyle="1" w:styleId="SourceCode">
    <w:name w:val="Source Code"/>
    <w:basedOn w:val="Normal"/>
    <w:link w:val="VerbatimChar"/>
    <w:pPr>
      <w:wordWrap w:val="off"/>
    </w:pPr>
  </w:style>
  <w:style w:type="character" w:customStyle="1" w:styleId="KeywordTok">
    <w:name w:val="KeywordTok"/>
    <w:basedOn w:val="VerbatimChar"/>
    <w:rPr>
      <w:b/>
      <w:color w:val="007020"/>
    </w:rPr>
  </w:style>
  <w:style w:type="character" w:customStyle="1" w:styleId="DataTypeTok">
    <w:name w:val="DataTypeTok"/>
    <w:basedOn w:val="VerbatimChar"/>
    <w:rPr>
      <w:color w:val="902000"/>
    </w:rPr>
  </w:style>
  <w:style w:type="character" w:customStyle="1" w:styleId="DecValTok">
    <w:name w:val="DecValTok"/>
    <w:basedOn w:val="VerbatimChar"/>
    <w:rPr>
      <w:color w:val="40a070"/>
    </w:rPr>
  </w:style>
  <w:style w:type="character" w:customStyle="1" w:styleId="BaseNTok">
    <w:name w:val="BaseNTok"/>
    <w:basedOn w:val="VerbatimChar"/>
    <w:rPr>
      <w:color w:val="40a070"/>
    </w:rPr>
  </w:style>
  <w:style w:type="character" w:customStyle="1" w:styleId="FloatTok">
    <w:name w:val="FloatTok"/>
    <w:basedOn w:val="VerbatimChar"/>
    <w:rPr>
      <w:color w:val="40a070"/>
    </w:rPr>
  </w:style>
  <w:style w:type="character" w:customStyle="1" w:styleId="ConstantTok">
    <w:name w:val="ConstantTok"/>
    <w:basedOn w:val="VerbatimChar"/>
    <w:rPr>
      <w:color w:val="880000"/>
    </w:rPr>
  </w:style>
  <w:style w:type="character" w:customStyle="1" w:styleId="CharTok">
    <w:name w:val="CharTok"/>
    <w:basedOn w:val="VerbatimChar"/>
    <w:rPr>
      <w:color w:val="4070a0"/>
    </w:rPr>
  </w:style>
  <w:style w:type="character" w:customStyle="1" w:styleId="SpecialCharTok">
    <w:name w:val="SpecialCharTok"/>
    <w:basedOn w:val="VerbatimChar"/>
    <w:rPr>
      <w:color w:val="4070a0"/>
    </w:rPr>
  </w:style>
  <w:style w:type="character" w:customStyle="1" w:styleId="StringTok">
    <w:name w:val="StringTok"/>
    <w:basedOn w:val="VerbatimChar"/>
    <w:rPr>
      <w:color w:val="4070a0"/>
    </w:rPr>
  </w:style>
  <w:style w:type="character" w:customStyle="1" w:styleId="VerbatimStringTok">
    <w:name w:val="VerbatimStringTok"/>
    <w:basedOn w:val="VerbatimChar"/>
    <w:rPr>
      <w:color w:val="4070a0"/>
    </w:rPr>
  </w:style>
  <w:style w:type="character" w:customStyle="1" w:styleId="SpecialStringTok">
    <w:name w:val="SpecialStringTok"/>
    <w:basedOn w:val="VerbatimChar"/>
    <w:rPr>
      <w:color w:val="bb6688"/>
    </w:rPr>
  </w:style>
  <w:style w:type="character" w:customStyle="1" w:styleId="ImportTok">
    <w:name w:val="ImportTok"/>
    <w:basedOn w:val="VerbatimChar"/>
    <w:rPr>
      <w:b/>
      <w:color w:val="008000"/>
    </w:rPr>
  </w:style>
  <w:style w:type="character" w:customStyle="1" w:styleId="CommentTok">
    <w:name w:val="CommentTok"/>
    <w:basedOn w:val="VerbatimChar"/>
    <w:rPr>
      <w:i/>
      <w:color w:val="60a0b0"/>
    </w:rPr>
  </w:style>
  <w:style w:type="character" w:customStyle="1" w:styleId="DocumentationTok">
    <w:name w:val="DocumentationTok"/>
    <w:basedOn w:val="VerbatimChar"/>
    <w:rPr>
      <w:i/>
      <w:color w:val="ba2121"/>
    </w:rPr>
  </w:style>
  <w:style w:type="character" w:customStyle="1" w:styleId="AnnotationTok">
    <w:name w:val="AnnotationTok"/>
    <w:basedOn w:val="VerbatimChar"/>
    <w:rPr>
      <w:b/>
      <w:i/>
      <w:color w:val="60a0b0"/>
    </w:rPr>
  </w:style>
  <w:style w:type="character" w:customStyle="1" w:styleId="CommentVarTok">
    <w:name w:val="CommentVarTok"/>
    <w:basedOn w:val="VerbatimChar"/>
    <w:rPr>
      <w:b/>
      <w:i/>
      <w:color w:val="60a0b0"/>
    </w:rPr>
  </w:style>
  <w:style w:type="character" w:customStyle="1" w:styleId="OtherTok">
    <w:name w:val="OtherTok"/>
    <w:basedOn w:val="VerbatimChar"/>
    <w:rPr>
      <w:color w:val="007020"/>
    </w:rPr>
  </w:style>
  <w:style w:type="character" w:customStyle="1" w:styleId="FunctionTok">
    <w:name w:val="FunctionTok"/>
    <w:basedOn w:val="VerbatimChar"/>
    <w:rPr>
      <w:color w:val="06287e"/>
    </w:rPr>
  </w:style>
  <w:style w:type="character" w:customStyle="1" w:styleId="VariableTok">
    <w:name w:val="VariableTok"/>
    <w:basedOn w:val="VerbatimChar"/>
    <w:rPr>
      <w:color w:val="19177c"/>
    </w:rPr>
  </w:style>
  <w:style w:type="character" w:customStyle="1" w:styleId="ControlFlowTok">
    <w:name w:val="ControlFlowTok"/>
    <w:basedOn w:val="VerbatimChar"/>
    <w:rPr>
      <w:b/>
      <w:color w:val="007020"/>
    </w:rPr>
  </w:style>
  <w:style w:type="character" w:customStyle="1" w:styleId="OperatorTok">
    <w:name w:val="OperatorTok"/>
    <w:basedOn w:val="VerbatimChar"/>
    <w:rPr>
      <w:color w:val="666666"/>
    </w:rPr>
  </w:style>
  <w:style w:type="character" w:customStyle="1" w:styleId="BuiltInTok">
    <w:name w:val="BuiltInTok"/>
    <w:basedOn w:val="VerbatimChar"/>
    <w:rPr>
      <w:color w:val="008000"/>
    </w:rPr>
  </w:style>
  <w:style w:type="character" w:customStyle="1" w:styleId="ExtensionTok">
    <w:name w:val="ExtensionTok"/>
    <w:basedOn w:val="VerbatimChar"/>
    <w:rPr/>
  </w:style>
  <w:style w:type="character" w:customStyle="1" w:styleId="PreprocessorTok">
    <w:name w:val="PreprocessorTok"/>
    <w:basedOn w:val="VerbatimChar"/>
    <w:rPr>
      <w:color w:val="bc7a00"/>
    </w:rPr>
  </w:style>
  <w:style w:type="character" w:customStyle="1" w:styleId="AttributeTok">
    <w:name w:val="AttributeTok"/>
    <w:basedOn w:val="VerbatimChar"/>
    <w:rPr>
      <w:color w:val="7d9029"/>
    </w:rPr>
  </w:style>
  <w:style w:type="character" w:customStyle="1" w:styleId="RegionMarkerTok">
    <w:name w:val="RegionMarkerTok"/>
    <w:basedOn w:val="VerbatimChar"/>
    <w:rPr/>
  </w:style>
  <w:style w:type="character" w:customStyle="1" w:styleId="InformationTok">
    <w:name w:val="InformationTok"/>
    <w:basedOn w:val="VerbatimChar"/>
    <w:rPr>
      <w:b/>
      <w:i/>
      <w:color w:val="60a0b0"/>
    </w:rPr>
  </w:style>
  <w:style w:type="character" w:customStyle="1" w:styleId="WarningTok">
    <w:name w:val="WarningTok"/>
    <w:basedOn w:val="VerbatimChar"/>
    <w:rPr>
      <w:b/>
      <w:i/>
      <w:color w:val="60a0b0"/>
    </w:rPr>
  </w:style>
  <w:style w:type="character" w:customStyle="1" w:styleId="AlertTok">
    <w:name w:val="AlertTok"/>
    <w:basedOn w:val="VerbatimChar"/>
    <w:rPr>
      <w:b/>
      <w:color w:val="ff0000"/>
    </w:rPr>
  </w:style>
  <w:style w:type="character" w:customStyle="1" w:styleId="ErrorTok">
    <w:name w:val="ErrorTok"/>
    <w:basedOn w:val="VerbatimChar"/>
    <w:rPr>
      <w:b/>
      <w:color w:val="ff0000"/>
    </w:rPr>
  </w:style>
  <w:style w:type="character" w:customStyle="1" w:styleId="NormalTok">
    <w:name w:val="NormalTok"/>
    <w:basedOn w:val="VerbatimChar"/>
    <w:rPr/>
  </w:style>
</w:styles>
</file>

<file path=word/webSettings.xml><?xml version="1.0" encoding="utf-8"?>
<ns0:webSettings xmlns:ns0="http://schemas.openxmlformats.org/wordprocessingml/2006/main">
  <ns0:allowPNG/>
  <ns0:doNotSaveAsSingleFile/>
</ns0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8" Target="numbering.xml" /><Relationship Type="http://schemas.openxmlformats.org/officeDocument/2006/relationships/styles" Id="rId7" Target="styles.xml" /><Relationship Type="http://schemas.openxmlformats.org/officeDocument/2006/relationships/settings" Id="rId6" Target="settings.xml" /><Relationship Type="http://schemas.openxmlformats.org/officeDocument/2006/relationships/webSettings" Id="rId5" Target="webSettings.xml" /><Relationship Type="http://schemas.openxmlformats.org/officeDocument/2006/relationships/fontTable" Id="rId4" Target="fontTable.xml" /><Relationship Type="http://schemas.openxmlformats.org/officeDocument/2006/relationships/theme" Id="rId3" Target="theme/theme1.xml" /><Relationship Type="http://schemas.openxmlformats.org/officeDocument/2006/relationships/footnotes" Id="rId2" Target="footnotes.xml" /><Relationship Type="http://schemas.openxmlformats.org/officeDocument/2006/relationships/comments" Id="rId1" Target="comments.xml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Words>83</Words>
  <SharedDoc>false</SharedDoc>
  <HyperlinksChanged>false</HyperlinksChanged>
  <Lines>12</Lines>
  <AppVersion>12.0000</AppVersion>
  <LinksUpToDate>false</LinksUpToDate>
  <Application>Microsoft Word 12.0.0</Application>
  <CharactersWithSpaces>583</CharactersWithSpaces>
  <Template>Normal.dotm</Template>
  <DocSecurity>0</DocSecurity>
  <TotalTime>6</TotalTime>
  <ScaleCrop>false</ScaleCrop>
  <Characters>475</Characters>
  <Paragraphs>8</Paragraphs>
  <Pages>1</Pag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keywords/>
  <dcterms:created xsi:type="dcterms:W3CDTF">2026-02-22T19:19:51Z</dcterms:created>
  <dcterms:modified xsi:type="dcterms:W3CDTF">2026-02-22T19:19:51Z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